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3C" w:rsidRPr="00C4653C" w:rsidRDefault="00C4653C" w:rsidP="00C465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lang w:val="es-ES" w:eastAsia="zh-CN"/>
        </w:rPr>
      </w:pPr>
      <w:r w:rsidRPr="00C4653C">
        <w:rPr>
          <w:rFonts w:ascii="Arial" w:eastAsia="SimSun" w:hAnsi="Arial" w:cs="Arial"/>
          <w:b/>
          <w:bCs/>
          <w:lang w:val="es-ES" w:eastAsia="zh-CN"/>
        </w:rPr>
        <w:t>Tribunal Supremo de Elecciones</w:t>
      </w:r>
    </w:p>
    <w:p w:rsidR="00C4653C" w:rsidRPr="00C4653C" w:rsidRDefault="00C4653C" w:rsidP="00C465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lang w:val="es-ES" w:eastAsia="zh-CN"/>
        </w:rPr>
      </w:pPr>
      <w:r>
        <w:rPr>
          <w:rFonts w:ascii="Arial" w:eastAsia="SimSun" w:hAnsi="Arial" w:cs="Arial"/>
          <w:b/>
          <w:bCs/>
          <w:lang w:val="es-ES" w:eastAsia="zh-CN"/>
        </w:rPr>
        <w:t>Ejecución Presupuestaria 2015</w:t>
      </w:r>
    </w:p>
    <w:p w:rsidR="00C4653C" w:rsidRPr="00C4653C" w:rsidRDefault="00C4653C" w:rsidP="00C465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808"/>
        <w:gridCol w:w="1985"/>
        <w:gridCol w:w="1842"/>
      </w:tblGrid>
      <w:tr w:rsidR="00C4653C" w:rsidRPr="00C4653C" w:rsidTr="00C0499D">
        <w:trPr>
          <w:trHeight w:val="519"/>
        </w:trPr>
        <w:tc>
          <w:tcPr>
            <w:tcW w:w="2870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Centro de gestión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Apropiación  Actual</w:t>
            </w:r>
            <w:r w:rsidRPr="00C4653C">
              <w:rPr>
                <w:rFonts w:ascii="Arial" w:eastAsia="SimSun" w:hAnsi="Arial" w:cs="Arial"/>
                <w:b/>
                <w:szCs w:val="24"/>
                <w:vertAlign w:val="superscript"/>
                <w:lang w:val="es-ES" w:eastAsia="zh-CN"/>
              </w:rPr>
              <w:footnoteReference w:id="1"/>
            </w:r>
          </w:p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 (a)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Gasto Devengado </w:t>
            </w:r>
          </w:p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(b)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% de Ejecución</w:t>
            </w:r>
            <w:r w:rsidRPr="00C4653C">
              <w:rPr>
                <w:rFonts w:ascii="Arial" w:eastAsia="SimSun" w:hAnsi="Arial" w:cs="Arial"/>
                <w:b/>
                <w:szCs w:val="24"/>
                <w:vertAlign w:val="superscript"/>
                <w:lang w:val="es-ES" w:eastAsia="zh-CN"/>
              </w:rPr>
              <w:footnoteReference w:id="2"/>
            </w:r>
          </w:p>
        </w:tc>
      </w:tr>
      <w:tr w:rsidR="00C4653C" w:rsidRPr="00C4653C" w:rsidTr="00C0499D">
        <w:trPr>
          <w:trHeight w:val="391"/>
        </w:trPr>
        <w:tc>
          <w:tcPr>
            <w:tcW w:w="2870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08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(b/a)</w:t>
            </w:r>
          </w:p>
        </w:tc>
      </w:tr>
      <w:tr w:rsidR="00C4653C" w:rsidRPr="00C4653C" w:rsidTr="00C0499D">
        <w:trPr>
          <w:trHeight w:val="474"/>
        </w:trPr>
        <w:tc>
          <w:tcPr>
            <w:tcW w:w="2870" w:type="dxa"/>
            <w:tcBorders>
              <w:top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850-01 Tribunal Supremo de Elecciones </w:t>
            </w:r>
          </w:p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08" w:type="dxa"/>
            <w:tcBorders>
              <w:top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>16.499.000.000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>13.918.640.470,23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>84.36%</w:t>
            </w:r>
          </w:p>
        </w:tc>
      </w:tr>
      <w:tr w:rsidR="00C4653C" w:rsidRPr="00C4653C" w:rsidTr="00C0499D">
        <w:trPr>
          <w:trHeight w:val="659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850-02 Organización de Elecciones 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>19.776.369.100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 xml:space="preserve">16.314.721.353,89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szCs w:val="24"/>
                <w:lang w:val="es-ES" w:eastAsia="zh-CN"/>
              </w:rPr>
              <w:t>82,49%</w:t>
            </w:r>
          </w:p>
        </w:tc>
      </w:tr>
      <w:tr w:rsidR="00C4653C" w:rsidRPr="00C4653C" w:rsidTr="00C0499D">
        <w:trPr>
          <w:trHeight w:val="417"/>
        </w:trPr>
        <w:tc>
          <w:tcPr>
            <w:tcW w:w="28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TOTAL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36.275.369.100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bCs/>
                <w:lang w:val="es-ES" w:eastAsia="zh-CN"/>
              </w:rPr>
              <w:t>30.233.361.824,12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4653C" w:rsidRPr="00C4653C" w:rsidRDefault="00C4653C" w:rsidP="00C4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C4653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83.34%</w:t>
            </w:r>
          </w:p>
        </w:tc>
      </w:tr>
    </w:tbl>
    <w:p w:rsidR="00C4653C" w:rsidRPr="00C4653C" w:rsidRDefault="00C4653C" w:rsidP="00C4653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Cs/>
          <w:sz w:val="18"/>
          <w:szCs w:val="18"/>
          <w:lang w:val="es-ES" w:eastAsia="zh-CN"/>
        </w:rPr>
      </w:pPr>
      <w:r w:rsidRPr="00C4653C">
        <w:rPr>
          <w:rFonts w:ascii="Arial" w:eastAsia="SimSun" w:hAnsi="Arial" w:cs="Arial"/>
          <w:b/>
          <w:iCs/>
          <w:sz w:val="18"/>
          <w:szCs w:val="18"/>
          <w:lang w:val="es-ES" w:eastAsia="zh-CN"/>
        </w:rPr>
        <w:t>Fuente:</w:t>
      </w:r>
      <w:r w:rsidRPr="00C4653C">
        <w:rPr>
          <w:rFonts w:ascii="Arial" w:eastAsia="SimSun" w:hAnsi="Arial" w:cs="Arial"/>
          <w:iCs/>
          <w:sz w:val="18"/>
          <w:szCs w:val="18"/>
          <w:lang w:val="es-ES" w:eastAsia="zh-CN"/>
        </w:rPr>
        <w:t xml:space="preserve"> Dirección Ejecutiva.  </w:t>
      </w:r>
    </w:p>
    <w:p w:rsidR="00C4653C" w:rsidRPr="00C4653C" w:rsidRDefault="00C4653C" w:rsidP="00C465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s-ES" w:eastAsia="es-CR"/>
        </w:rPr>
      </w:pPr>
    </w:p>
    <w:p w:rsidR="009F1423" w:rsidRDefault="009F1423">
      <w:bookmarkStart w:id="0" w:name="_GoBack"/>
      <w:bookmarkEnd w:id="0"/>
    </w:p>
    <w:sectPr w:rsidR="009F1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A5" w:rsidRDefault="00171EA5" w:rsidP="00C4653C">
      <w:pPr>
        <w:spacing w:after="0" w:line="240" w:lineRule="auto"/>
      </w:pPr>
      <w:r>
        <w:separator/>
      </w:r>
    </w:p>
  </w:endnote>
  <w:endnote w:type="continuationSeparator" w:id="0">
    <w:p w:rsidR="00171EA5" w:rsidRDefault="00171EA5" w:rsidP="00C4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A5" w:rsidRDefault="00171EA5" w:rsidP="00C4653C">
      <w:pPr>
        <w:spacing w:after="0" w:line="240" w:lineRule="auto"/>
      </w:pPr>
      <w:r>
        <w:separator/>
      </w:r>
    </w:p>
  </w:footnote>
  <w:footnote w:type="continuationSeparator" w:id="0">
    <w:p w:rsidR="00171EA5" w:rsidRDefault="00171EA5" w:rsidP="00C4653C">
      <w:pPr>
        <w:spacing w:after="0" w:line="240" w:lineRule="auto"/>
      </w:pPr>
      <w:r>
        <w:continuationSeparator/>
      </w:r>
    </w:p>
  </w:footnote>
  <w:footnote w:id="1">
    <w:p w:rsidR="00C4653C" w:rsidRPr="00A45A41" w:rsidRDefault="00C4653C" w:rsidP="00C4653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Cifras incluyen las rebajas aplicadas al presupuesto durante el ejercicio económico.  Es la apropiación real.</w:t>
      </w:r>
    </w:p>
  </w:footnote>
  <w:footnote w:id="2">
    <w:p w:rsidR="00C4653C" w:rsidRPr="00CE63E8" w:rsidRDefault="00C4653C" w:rsidP="00C4653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Desde el punto de vista del devengado real al 31/12/2015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C"/>
    <w:rsid w:val="00171EA5"/>
    <w:rsid w:val="009F1423"/>
    <w:rsid w:val="00C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46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653C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C465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46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653C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C46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fjimenez</dc:creator>
  <cp:keywords/>
  <dc:description/>
  <cp:lastModifiedBy>fjimenez</cp:lastModifiedBy>
  <cp:revision>1</cp:revision>
  <dcterms:created xsi:type="dcterms:W3CDTF">2016-07-19T22:12:00Z</dcterms:created>
  <dcterms:modified xsi:type="dcterms:W3CDTF">2016-07-19T22:13:00Z</dcterms:modified>
</cp:coreProperties>
</file>